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DDB5" w14:textId="77777777" w:rsidR="00232B55" w:rsidRPr="00ED30DD" w:rsidRDefault="00232B55" w:rsidP="00232B55">
      <w:pPr>
        <w:pStyle w:val="NormalWeb"/>
        <w:spacing w:afterLines="20" w:after="48" w:afterAutospacing="0"/>
        <w:ind w:firstLine="0"/>
        <w:rPr>
          <w:lang w:val="en-US"/>
        </w:rPr>
      </w:pPr>
      <w:bookmarkStart w:id="0" w:name="_GoBack"/>
      <w:bookmarkEnd w:id="0"/>
      <w:r w:rsidRPr="00ED30DD">
        <w:rPr>
          <w:b/>
          <w:lang w:val="en-US"/>
        </w:rPr>
        <w:t>Appendix S1.</w:t>
      </w:r>
      <w:r w:rsidRPr="00ED30DD">
        <w:rPr>
          <w:lang w:val="en-US"/>
        </w:rPr>
        <w:t xml:space="preserve"> </w:t>
      </w:r>
      <w:r>
        <w:rPr>
          <w:lang w:val="en-US"/>
        </w:rPr>
        <w:t xml:space="preserve">Data providers for herbarium and germplasm occurrence data used </w:t>
      </w:r>
      <w:r w:rsidR="00EF22C4">
        <w:rPr>
          <w:lang w:val="en-US"/>
        </w:rPr>
        <w:t xml:space="preserve">in </w:t>
      </w:r>
      <w:r>
        <w:rPr>
          <w:lang w:val="en-US"/>
        </w:rPr>
        <w:t>species distribution modelling and in the gap analysis measuring the representativeness of the germplasm collections in relation to the modelled distribution of each wild species</w:t>
      </w:r>
      <w:r w:rsidRPr="00ED30DD">
        <w:rPr>
          <w:lang w:val="en-US"/>
        </w:rPr>
        <w:t>.</w:t>
      </w:r>
      <w:r>
        <w:rPr>
          <w:lang w:val="en-US"/>
        </w:rPr>
        <w:t xml:space="preserve"> Record numbers with coordinates are those with unique locations</w:t>
      </w:r>
      <w:r w:rsidR="00EF22C4">
        <w:rPr>
          <w:lang w:val="en-US"/>
        </w:rPr>
        <w:t xml:space="preserve"> from the total records supplied by data providers</w:t>
      </w:r>
      <w:r>
        <w:rPr>
          <w:lang w:val="en-US"/>
        </w:rPr>
        <w:t>.</w:t>
      </w:r>
    </w:p>
    <w:p w14:paraId="2AD62B38" w14:textId="77777777" w:rsidR="00232B55" w:rsidRPr="00ED30DD" w:rsidRDefault="00232B55" w:rsidP="004666C9">
      <w:pPr>
        <w:tabs>
          <w:tab w:val="left" w:pos="12773"/>
        </w:tabs>
        <w:spacing w:afterLines="20" w:after="48" w:line="240" w:lineRule="auto"/>
        <w:ind w:firstLine="0"/>
        <w:rPr>
          <w:rStyle w:val="Heading6Char"/>
          <w:rFonts w:cs="Times New Roman"/>
          <w:i w:val="0"/>
          <w:szCs w:val="24"/>
          <w:lang w:val="en-US"/>
        </w:rPr>
      </w:pPr>
      <w:r w:rsidRPr="00ED30DD">
        <w:rPr>
          <w:rStyle w:val="Heading6Char"/>
          <w:rFonts w:cs="Times New Roman"/>
          <w:szCs w:val="24"/>
          <w:lang w:val="en-US"/>
        </w:rPr>
        <w:t xml:space="preserve"> </w:t>
      </w:r>
      <w:r w:rsidR="004666C9">
        <w:rPr>
          <w:rStyle w:val="Heading6Char"/>
          <w:rFonts w:cs="Times New Roman"/>
          <w:szCs w:val="24"/>
          <w:lang w:val="en-US"/>
        </w:rPr>
        <w:tab/>
      </w:r>
    </w:p>
    <w:tbl>
      <w:tblPr>
        <w:tblW w:w="1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1100"/>
        <w:gridCol w:w="1660"/>
        <w:gridCol w:w="1180"/>
        <w:gridCol w:w="1660"/>
      </w:tblGrid>
      <w:tr w:rsidR="00232B55" w:rsidRPr="00ED30DD" w14:paraId="1908398A" w14:textId="77777777" w:rsidTr="00D26E81">
        <w:trPr>
          <w:trHeight w:val="300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4BB3D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Source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00054" w14:textId="77777777" w:rsidR="00232B55" w:rsidRPr="00ED30DD" w:rsidRDefault="00232B55" w:rsidP="00D26E81">
            <w:pPr>
              <w:spacing w:afterLines="20" w:after="48" w:line="240" w:lineRule="auto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GERMPLASM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98962" w14:textId="77777777" w:rsidR="00232B55" w:rsidRPr="00ED30DD" w:rsidRDefault="00232B55" w:rsidP="00D26E81">
            <w:pPr>
              <w:spacing w:afterLines="20" w:after="48" w:line="240" w:lineRule="auto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HERBARIUM</w:t>
            </w:r>
          </w:p>
        </w:tc>
      </w:tr>
      <w:tr w:rsidR="00232B55" w:rsidRPr="00ED30DD" w14:paraId="0D0EB699" w14:textId="77777777" w:rsidTr="00D26E8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41ACD" w14:textId="77777777" w:rsidR="00232B55" w:rsidRPr="00ED30DD" w:rsidRDefault="00232B55" w:rsidP="00D26E81">
            <w:pPr>
              <w:spacing w:afterLines="20" w:after="48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291A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Total No. of records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6A363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No. of records with coordinates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6D7BE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Total No. of records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7881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No. of records with coordinates</w:t>
            </w:r>
          </w:p>
        </w:tc>
      </w:tr>
      <w:tr w:rsidR="00232B55" w:rsidRPr="00ED30DD" w14:paraId="40CD4E9E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FB4DF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Asian Vegetable Research and Development Center, AVRDC, (TWN001), Taiwan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85B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618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1351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BE8C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35E76A72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DCBB5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Asian Vegetable Research and Development Center, AVRDC, (TWN001), Taiwan,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9D19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805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E657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9C27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72B1B30F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B6F02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Banco de Sementes A.L. Belo Correia, Museu Nacional de História Natural e da Ciência, Universidade de Lisboa, Portugal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E602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0D3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D3C9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AEB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4BB28150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F42D5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Botanical Garden, University of Nijmegen, BGNIJME, (NLD020), The Netherlands, via ECPGR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3ACE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3892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1AA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05F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6301575C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7B6D4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Botanical Garden, University of Nijmegen, BGNIJME, (NLD020), The Netherlands,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918C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79F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56F04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EEA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488C2C6B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14F92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Botanical Garden, University of Nijmegen, BGNIJME, (NLD020), The Netherlands,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66424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C733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29C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76EA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576A9C32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0F078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Centre for Genetic Resources, the Netherlands Plant Research International, CGN, (NLD037), The Netherlands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5FF24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CFD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0537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BDC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02E05776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701FB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Centre for Genetic Resources, the Netherlands Plant Research International, CGN, (NLD037), The Netherlands, via ECPGR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CF87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439D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7A225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438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2B1804EC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7F82C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Centre for Genetic Resources, the Netherlands Plant Research International, CGN, (NLD037), The Netherlands,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9391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FB8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C89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7BA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1047DDFA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1953E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Centre for Genetic Resources, the Netherlands Plant Research International, CGN, (NLD037), The Netherlands,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5E9D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86E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110C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ED2C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5A863020" w14:textId="77777777" w:rsidTr="00D26E81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B8B93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Chinese Academy of Sciences (CAS), China, via GBIF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65262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341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5DC7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974E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131</w:t>
            </w:r>
          </w:p>
        </w:tc>
      </w:tr>
      <w:tr w:rsidR="00232B55" w:rsidRPr="00ED30DD" w14:paraId="3C27EC28" w14:textId="77777777" w:rsidTr="00D26E81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11C94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Comunidad de Madrid. Universidad Politécnica de Madrid. Escuela Técnica Superior de Ingenieros Agrónomos. Banco de Germoplasma, UPM-BGV, (ESP003), Spain,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5B9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8DE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E623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A1F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1599EC9E" w14:textId="77777777" w:rsidTr="00D26E81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B896E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lastRenderedPageBreak/>
              <w:t>Comunidad de Madrid. Universidad Politécnica de Madrid. Escuela Técnica Superior de Ingenieros Agrónomos. Banco de Germoplasma, UPM-BGV, (ESP003), Spain,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2512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CA6D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89BD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D56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206581C3" w14:textId="77777777" w:rsidTr="00D26E81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71EF9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EURISCO (accessed: 22 July 2012)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0B6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F2DA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91A8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88FE8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6524849B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DE71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External Branch North of the Department Genebank, IPK, Potato Collection in Gross-Luesewitz, (DEU159), Germany,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95A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0FA4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6CB5D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7EE1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7722F299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02CB6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Genebank, Leibniz Institute of Plant Genetics and Crop Plant Research, IPK, (DEU146), Germany,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2C5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2DB5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F74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CCBC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55B3E490" w14:textId="77777777" w:rsidTr="00D26E81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1DF35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Gobierno de Aragón. Centro de Investigación y Tecnología Agroalimentaria. Banco de Germoplasma de Hortícolas, CITA-HOR, (ESP027), Spain,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9F0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E119C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65262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342B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562A9306" w14:textId="77777777" w:rsidTr="00D26E81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43FFA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Institute of Botany, (ARM005), Armenia,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74797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9B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3C85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A05B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054F2E44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740F2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Institute of Vegetable and Melon Growing, IOB, (UKR021),Ukraine,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4FB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6FEF8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04CDA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14274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1678EDED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E9D2D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Jeju Folklore and Natural History Museum Plant Resources (JNHM), Korea,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A33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21C9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B69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570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37351AFF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4C5CCA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Jeju Folklore and Natural History Museum Plant Resources (JNHM), Korea,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73F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C379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B785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5CDC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38A074CF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96F86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Millennium Seed Bank Project, Seed Conservation Department, Royal Botanic Gardens, Kew, Wakehurst Place, RBG, (GBR004), 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814B7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6A54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D4A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1D72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2ED0C9BC" w14:textId="77777777" w:rsidTr="00D26E81">
        <w:trPr>
          <w:trHeight w:val="53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DED3B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Plant Genetic Resources Conservation Unit, Southern Regional Plant Introduction Station, University of Georgia, USDA-ARS, S9, (USA016), US, via GENESYS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EDF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F39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CFBC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2493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1424650E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7EE97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Solanaceae Source Database. 2015. Solanaceae Source: a global taxonomic resource for the nightshades.http://www.solanaceaesource.org/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8E0A8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F8A0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6E08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1130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FF3AF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68</w:t>
            </w:r>
          </w:p>
        </w:tc>
      </w:tr>
      <w:tr w:rsidR="00232B55" w:rsidRPr="00ED30DD" w14:paraId="636D7266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593D1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Solanaceae Source Database. 2015. Solanaceae Source: a global taxonomic resource for the nightshades.http://www.solanaceaesource.org/ (accessed 2014)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4889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4C7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A3BA2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4324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E9DED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4324</w:t>
            </w:r>
          </w:p>
        </w:tc>
      </w:tr>
      <w:tr w:rsidR="00232B55" w:rsidRPr="00ED30DD" w14:paraId="15D48DB9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AA312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Solanaceae Source Database. 2015. Solanaceae Source: a global taxonomic resource for the nightshades.http://www.solanaceaesource.org/ (accessed 2014)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ED89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AD7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5FD6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51A9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33</w:t>
            </w:r>
          </w:p>
        </w:tc>
      </w:tr>
      <w:tr w:rsidR="00232B55" w:rsidRPr="00ED30DD" w14:paraId="31897E50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DB712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Station d</w:t>
            </w:r>
            <w:r>
              <w:rPr>
                <w:sz w:val="22"/>
                <w:lang w:val="en-US"/>
              </w:rPr>
              <w:t xml:space="preserve">e Génétique et </w:t>
            </w:r>
            <w:r w:rsidRPr="00ED30DD">
              <w:rPr>
                <w:sz w:val="22"/>
                <w:lang w:val="en-US"/>
              </w:rPr>
              <w:t xml:space="preserve">Amélioration des </w:t>
            </w:r>
            <w:r>
              <w:rPr>
                <w:sz w:val="22"/>
                <w:lang w:val="en-US"/>
              </w:rPr>
              <w:t>Fruits et Légumes</w:t>
            </w:r>
            <w:r w:rsidRPr="00ED30DD">
              <w:rPr>
                <w:sz w:val="22"/>
                <w:lang w:val="en-US"/>
              </w:rPr>
              <w:t>, INRA Avignon, (FRA030), France, via ECPGR</w:t>
            </w:r>
            <w:r>
              <w:rPr>
                <w:sz w:val="22"/>
                <w:lang w:val="en-US"/>
              </w:rPr>
              <w:t xml:space="preserve"> and M.-C. Daunay personal 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DE3E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ECCE9" w14:textId="77777777" w:rsidR="00232B55" w:rsidRPr="00ED30DD" w:rsidRDefault="00232B55" w:rsidP="00D26E81">
            <w:pPr>
              <w:spacing w:afterLines="20" w:after="48" w:line="240" w:lineRule="auto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DF10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292E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68C59F7E" w14:textId="77777777" w:rsidTr="00D26E81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F8A2C" w14:textId="77777777" w:rsidR="00232B55" w:rsidRPr="00ED30DD" w:rsidRDefault="00232B55" w:rsidP="00D26E81">
            <w:pPr>
              <w:spacing w:afterLines="20" w:after="48" w:line="240" w:lineRule="auto"/>
              <w:ind w:firstLine="0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Plant Genetic Resources Conservation Unit, Southern Regional Plant Introduction Station, University of Georgia, USDA-ARS (USA016), USA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47BED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2E095" w14:textId="77777777" w:rsidR="00232B55" w:rsidRPr="00ED30DD" w:rsidRDefault="00232B55" w:rsidP="00D26E81">
            <w:pPr>
              <w:spacing w:afterLines="20" w:after="48" w:line="240" w:lineRule="auto"/>
              <w:rPr>
                <w:lang w:val="en-US"/>
              </w:rPr>
            </w:pPr>
            <w:r w:rsidRPr="00ED30DD">
              <w:rPr>
                <w:sz w:val="22"/>
                <w:lang w:val="en-US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E886B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2253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lang w:val="en-US"/>
              </w:rPr>
            </w:pPr>
          </w:p>
        </w:tc>
      </w:tr>
      <w:tr w:rsidR="00232B55" w:rsidRPr="00ED30DD" w14:paraId="14D315F3" w14:textId="77777777" w:rsidTr="00D26E81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4A0B6" w14:textId="77777777" w:rsidR="00232B55" w:rsidRPr="00ED30DD" w:rsidRDefault="00232B55" w:rsidP="00D26E81">
            <w:pPr>
              <w:spacing w:afterLines="20" w:after="48" w:line="240" w:lineRule="auto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603DC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936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1366" w14:textId="77777777" w:rsidR="00232B55" w:rsidRPr="00ED30DD" w:rsidRDefault="00232B55" w:rsidP="00D26E81">
            <w:pPr>
              <w:spacing w:afterLines="20" w:after="48" w:line="240" w:lineRule="auto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F476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5618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4CD9" w14:textId="77777777" w:rsidR="00232B55" w:rsidRPr="00ED30DD" w:rsidRDefault="00232B55" w:rsidP="00D26E81">
            <w:pPr>
              <w:spacing w:afterLines="20" w:after="48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ED30DD">
              <w:rPr>
                <w:b/>
                <w:bCs/>
                <w:sz w:val="22"/>
                <w:lang w:val="en-US"/>
              </w:rPr>
              <w:t>4556</w:t>
            </w:r>
          </w:p>
        </w:tc>
      </w:tr>
    </w:tbl>
    <w:p w14:paraId="00FDBB29" w14:textId="77777777" w:rsidR="005A43C3" w:rsidRDefault="005A43C3"/>
    <w:sectPr w:rsidR="005A43C3" w:rsidSect="00232B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76EBD" w14:textId="77777777" w:rsidR="00EA38CC" w:rsidRDefault="00EA38CC" w:rsidP="00232B55">
      <w:pPr>
        <w:spacing w:after="0" w:line="240" w:lineRule="auto"/>
      </w:pPr>
      <w:r>
        <w:separator/>
      </w:r>
    </w:p>
  </w:endnote>
  <w:endnote w:type="continuationSeparator" w:id="0">
    <w:p w14:paraId="7B0E2636" w14:textId="77777777" w:rsidR="00EA38CC" w:rsidRDefault="00EA38CC" w:rsidP="0023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A20C" w14:textId="77777777" w:rsidR="00EA38CC" w:rsidRDefault="00EA38CC" w:rsidP="00232B55">
      <w:pPr>
        <w:spacing w:after="0" w:line="240" w:lineRule="auto"/>
      </w:pPr>
      <w:r>
        <w:separator/>
      </w:r>
    </w:p>
  </w:footnote>
  <w:footnote w:type="continuationSeparator" w:id="0">
    <w:p w14:paraId="2D543879" w14:textId="77777777" w:rsidR="00EA38CC" w:rsidRDefault="00EA38CC" w:rsidP="0023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D059" w14:textId="77777777" w:rsidR="00C7467F" w:rsidRPr="000B53F2" w:rsidRDefault="00C7467F" w:rsidP="00C7467F">
    <w:pPr>
      <w:pStyle w:val="Header"/>
      <w:jc w:val="right"/>
      <w:rPr>
        <w:sz w:val="20"/>
        <w:szCs w:val="20"/>
      </w:rPr>
    </w:pPr>
    <w:r w:rsidRPr="000B53F2">
      <w:rPr>
        <w:sz w:val="20"/>
        <w:szCs w:val="20"/>
      </w:rPr>
      <w:t xml:space="preserve">Syfert et al. – </w:t>
    </w:r>
    <w:r w:rsidRPr="000B53F2">
      <w:rPr>
        <w:i/>
        <w:sz w:val="20"/>
        <w:szCs w:val="20"/>
      </w:rPr>
      <w:t>American Journal of Botany</w:t>
    </w:r>
    <w:r w:rsidRPr="000B53F2">
      <w:rPr>
        <w:sz w:val="20"/>
        <w:szCs w:val="20"/>
      </w:rPr>
      <w:t xml:space="preserve"> 103(4): 2016. </w:t>
    </w:r>
    <w:r w:rsidRPr="000B53F2">
      <w:rPr>
        <w:rStyle w:val="slug-metadata-note"/>
        <w:rFonts w:eastAsia="Times New Roman" w:cs="Times New Roman"/>
        <w:sz w:val="20"/>
        <w:szCs w:val="20"/>
      </w:rPr>
      <w:t xml:space="preserve">DOI: </w:t>
    </w:r>
    <w:r w:rsidRPr="000B53F2">
      <w:rPr>
        <w:rStyle w:val="slug-doi"/>
        <w:rFonts w:eastAsia="Times New Roman" w:cs="Times New Roman"/>
        <w:sz w:val="20"/>
        <w:szCs w:val="20"/>
      </w:rPr>
      <w:t xml:space="preserve">10.3732/ajb.1500539 </w:t>
    </w:r>
    <w:r w:rsidRPr="000B53F2">
      <w:rPr>
        <w:sz w:val="20"/>
        <w:szCs w:val="20"/>
      </w:rPr>
      <w:t xml:space="preserve"> – </w:t>
    </w:r>
    <w:r>
      <w:rPr>
        <w:sz w:val="20"/>
        <w:szCs w:val="20"/>
      </w:rPr>
      <w:t>Appendix</w:t>
    </w:r>
    <w:r w:rsidRPr="000B53F2">
      <w:rPr>
        <w:sz w:val="20"/>
        <w:szCs w:val="20"/>
      </w:rPr>
      <w:t xml:space="preserve"> S</w:t>
    </w:r>
    <w:r>
      <w:rPr>
        <w:sz w:val="20"/>
        <w:szCs w:val="20"/>
      </w:rPr>
      <w:t>1</w:t>
    </w:r>
    <w:r w:rsidRPr="000B53F2">
      <w:rPr>
        <w:sz w:val="20"/>
        <w:szCs w:val="20"/>
      </w:rPr>
      <w:t xml:space="preserve"> – Page </w:t>
    </w:r>
    <w:sdt>
      <w:sdtPr>
        <w:rPr>
          <w:sz w:val="20"/>
          <w:szCs w:val="20"/>
        </w:rPr>
        <w:id w:val="1552885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53F2">
          <w:rPr>
            <w:sz w:val="20"/>
            <w:szCs w:val="20"/>
          </w:rPr>
          <w:fldChar w:fldCharType="begin"/>
        </w:r>
        <w:r w:rsidRPr="000B53F2">
          <w:rPr>
            <w:sz w:val="20"/>
            <w:szCs w:val="20"/>
          </w:rPr>
          <w:instrText xml:space="preserve"> PAGE   \* MERGEFORMAT </w:instrText>
        </w:r>
        <w:r w:rsidRPr="000B53F2">
          <w:rPr>
            <w:sz w:val="20"/>
            <w:szCs w:val="20"/>
          </w:rPr>
          <w:fldChar w:fldCharType="separate"/>
        </w:r>
        <w:r w:rsidR="00F54CE1">
          <w:rPr>
            <w:noProof/>
            <w:sz w:val="20"/>
            <w:szCs w:val="20"/>
          </w:rPr>
          <w:t>1</w:t>
        </w:r>
        <w:r w:rsidRPr="000B53F2">
          <w:rPr>
            <w:noProof/>
            <w:sz w:val="20"/>
            <w:szCs w:val="20"/>
          </w:rPr>
          <w:fldChar w:fldCharType="end"/>
        </w:r>
      </w:sdtContent>
    </w:sdt>
  </w:p>
  <w:p w14:paraId="051ADA53" w14:textId="77777777" w:rsidR="00232B55" w:rsidRDefault="00232B55" w:rsidP="00232B5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55"/>
    <w:rsid w:val="000B53F2"/>
    <w:rsid w:val="00232B55"/>
    <w:rsid w:val="004666C9"/>
    <w:rsid w:val="005A43C3"/>
    <w:rsid w:val="0098679B"/>
    <w:rsid w:val="00C7467F"/>
    <w:rsid w:val="00D50BCE"/>
    <w:rsid w:val="00EA38CC"/>
    <w:rsid w:val="00EF22C4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8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55"/>
    <w:pPr>
      <w:spacing w:line="480" w:lineRule="auto"/>
      <w:ind w:firstLine="720"/>
    </w:pPr>
    <w:rPr>
      <w:rFonts w:ascii="Times New Roman" w:eastAsiaTheme="minorEastAsia" w:hAnsi="Times New Roman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B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32B5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232B5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5"/>
    <w:rPr>
      <w:rFonts w:ascii="Times New Roman" w:eastAsiaTheme="minorEastAsia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55"/>
    <w:rPr>
      <w:rFonts w:ascii="Times New Roman" w:eastAsiaTheme="minorEastAsia" w:hAnsi="Times New Roman"/>
      <w:sz w:val="24"/>
      <w:lang w:eastAsia="en-GB"/>
    </w:rPr>
  </w:style>
  <w:style w:type="character" w:customStyle="1" w:styleId="slug-metadata-note">
    <w:name w:val="slug-metadata-note"/>
    <w:basedOn w:val="DefaultParagraphFont"/>
    <w:rsid w:val="000B53F2"/>
  </w:style>
  <w:style w:type="character" w:customStyle="1" w:styleId="slug-doi">
    <w:name w:val="slug-doi"/>
    <w:basedOn w:val="DefaultParagraphFont"/>
    <w:rsid w:val="000B5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55"/>
    <w:pPr>
      <w:spacing w:line="480" w:lineRule="auto"/>
      <w:ind w:firstLine="720"/>
    </w:pPr>
    <w:rPr>
      <w:rFonts w:ascii="Times New Roman" w:eastAsiaTheme="minorEastAsia" w:hAnsi="Times New Roman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B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32B5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232B5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5"/>
    <w:rPr>
      <w:rFonts w:ascii="Times New Roman" w:eastAsiaTheme="minorEastAsia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55"/>
    <w:rPr>
      <w:rFonts w:ascii="Times New Roman" w:eastAsiaTheme="minorEastAsia" w:hAnsi="Times New Roman"/>
      <w:sz w:val="24"/>
      <w:lang w:eastAsia="en-GB"/>
    </w:rPr>
  </w:style>
  <w:style w:type="character" w:customStyle="1" w:styleId="slug-metadata-note">
    <w:name w:val="slug-metadata-note"/>
    <w:basedOn w:val="DefaultParagraphFont"/>
    <w:rsid w:val="000B53F2"/>
  </w:style>
  <w:style w:type="character" w:customStyle="1" w:styleId="slug-doi">
    <w:name w:val="slug-doi"/>
    <w:basedOn w:val="DefaultParagraphFont"/>
    <w:rsid w:val="000B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Knapp</dc:creator>
  <cp:lastModifiedBy>Harriet Campbell Longley</cp:lastModifiedBy>
  <cp:revision>2</cp:revision>
  <dcterms:created xsi:type="dcterms:W3CDTF">2017-03-31T15:11:00Z</dcterms:created>
  <dcterms:modified xsi:type="dcterms:W3CDTF">2017-03-31T15:11:00Z</dcterms:modified>
</cp:coreProperties>
</file>