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18" w:rsidRDefault="004D5A18" w:rsidP="00B7247A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pPr w:leftFromText="180" w:rightFromText="180" w:vertAnchor="page" w:horzAnchor="margin" w:tblpY="1408"/>
        <w:tblW w:w="14742" w:type="dxa"/>
        <w:tblLook w:val="04A0"/>
      </w:tblPr>
      <w:tblGrid>
        <w:gridCol w:w="1639"/>
        <w:gridCol w:w="817"/>
        <w:gridCol w:w="2884"/>
        <w:gridCol w:w="9402"/>
      </w:tblGrid>
      <w:tr w:rsidR="00B7247A" w:rsidRPr="00693207" w:rsidTr="00B7247A">
        <w:trPr>
          <w:trHeight w:val="680"/>
        </w:trPr>
        <w:tc>
          <w:tcPr>
            <w:tcW w:w="556" w:type="pct"/>
            <w:vAlign w:val="center"/>
          </w:tcPr>
          <w:p w:rsidR="00B7247A" w:rsidRPr="004C759C" w:rsidRDefault="00B7247A" w:rsidP="00B7247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C759C">
              <w:rPr>
                <w:rFonts w:ascii="Arial" w:hAnsi="Arial" w:cs="Arial"/>
                <w:b/>
                <w:sz w:val="20"/>
                <w:szCs w:val="16"/>
              </w:rPr>
              <w:t>Process Stages</w:t>
            </w: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55D">
              <w:rPr>
                <w:rFonts w:ascii="Arial" w:hAnsi="Arial" w:cs="Arial"/>
                <w:b/>
                <w:sz w:val="20"/>
                <w:szCs w:val="24"/>
              </w:rPr>
              <w:t>Check</w:t>
            </w:r>
          </w:p>
        </w:tc>
        <w:tc>
          <w:tcPr>
            <w:tcW w:w="978" w:type="pct"/>
            <w:vAlign w:val="center"/>
            <w:hideMark/>
          </w:tcPr>
          <w:p w:rsidR="00B7247A" w:rsidRPr="004C759C" w:rsidRDefault="00B7247A" w:rsidP="00B7247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C759C">
              <w:rPr>
                <w:rFonts w:ascii="Arial" w:hAnsi="Arial" w:cs="Arial"/>
                <w:b/>
                <w:sz w:val="20"/>
                <w:szCs w:val="16"/>
              </w:rPr>
              <w:t>Data Elements</w:t>
            </w:r>
          </w:p>
        </w:tc>
        <w:tc>
          <w:tcPr>
            <w:tcW w:w="3189" w:type="pct"/>
            <w:vAlign w:val="center"/>
            <w:hideMark/>
          </w:tcPr>
          <w:p w:rsidR="00B7247A" w:rsidRPr="004C759C" w:rsidRDefault="00B7247A" w:rsidP="009A422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C759C">
              <w:rPr>
                <w:rFonts w:ascii="Arial" w:hAnsi="Arial" w:cs="Arial"/>
                <w:b/>
                <w:sz w:val="20"/>
                <w:szCs w:val="16"/>
              </w:rPr>
              <w:t>Tier 1</w:t>
            </w:r>
            <w:r w:rsidR="009A4223">
              <w:rPr>
                <w:rFonts w:ascii="Arial" w:hAnsi="Arial" w:cs="Arial"/>
                <w:b/>
                <w:sz w:val="20"/>
                <w:szCs w:val="16"/>
              </w:rPr>
              <w:t>.</w:t>
            </w:r>
            <w:r w:rsidRPr="004C759C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9A4223">
              <w:rPr>
                <w:rFonts w:ascii="Arial" w:hAnsi="Arial" w:cs="Arial"/>
                <w:b/>
                <w:sz w:val="20"/>
                <w:szCs w:val="16"/>
              </w:rPr>
              <w:t xml:space="preserve"> Examples of </w:t>
            </w:r>
            <w:r w:rsidRPr="004C759C">
              <w:rPr>
                <w:rFonts w:ascii="Arial" w:hAnsi="Arial" w:cs="Arial"/>
                <w:b/>
                <w:sz w:val="20"/>
                <w:szCs w:val="16"/>
              </w:rPr>
              <w:t>Element Applications in Biodiversity Collection Management &amp; Utilization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 w:val="restart"/>
            <w:textDirection w:val="btLr"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34C04">
              <w:rPr>
                <w:rFonts w:ascii="Arial" w:hAnsi="Arial" w:cs="Arial"/>
                <w:sz w:val="20"/>
                <w:szCs w:val="16"/>
              </w:rPr>
              <w:t>I.</w:t>
            </w:r>
            <w:r w:rsidR="008D024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534C04">
              <w:rPr>
                <w:rFonts w:ascii="Arial" w:hAnsi="Arial" w:cs="Arial"/>
                <w:sz w:val="20"/>
                <w:szCs w:val="16"/>
              </w:rPr>
              <w:t>Pre-acquisition &amp; associated sample date</w:t>
            </w: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>Type of institution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Research </w:t>
            </w:r>
            <w:r w:rsidR="00412A14" w:rsidRPr="00693207">
              <w:rPr>
                <w:rFonts w:ascii="Arial" w:hAnsi="Arial" w:cs="Arial"/>
                <w:sz w:val="16"/>
                <w:szCs w:val="16"/>
              </w:rPr>
              <w:t>infrast</w:t>
            </w:r>
            <w:r w:rsidRPr="00693207">
              <w:rPr>
                <w:rFonts w:ascii="Arial" w:hAnsi="Arial" w:cs="Arial"/>
                <w:sz w:val="16"/>
                <w:szCs w:val="16"/>
              </w:rPr>
              <w:t xml:space="preserve">ructures, museum on loan biospecimens, new acquisitions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Selection criteria (sample) 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Museum </w:t>
            </w:r>
            <w:r w:rsidR="00412A14" w:rsidRPr="00693207">
              <w:rPr>
                <w:rFonts w:ascii="Arial" w:eastAsiaTheme="minorHAnsi" w:hAnsi="Arial" w:cs="Arial"/>
                <w:sz w:val="16"/>
                <w:szCs w:val="16"/>
              </w:rPr>
              <w:t>ty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pe specimens, culture collection reference strains, indicator organisms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Selection criteria (quality)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Biological Resource Centre (BRC) quality criteria (authenticity, purity, stability)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Collection modality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Dead, living, replicable, totipotent, dictates biospecimen or bioresource usability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>Collection category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Museum herbarium, spirit, molecular, </w:t>
            </w:r>
            <w:r w:rsidR="00412A14" w:rsidRPr="00693207">
              <w:rPr>
                <w:rFonts w:ascii="Arial" w:eastAsiaTheme="minorHAnsi" w:hAnsi="Arial" w:cs="Arial"/>
                <w:sz w:val="16"/>
                <w:szCs w:val="16"/>
              </w:rPr>
              <w:t>ty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pe, reference, voucher specimen; active</w:t>
            </w:r>
            <w:r w:rsidR="00292961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 w:rsidR="00292961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base genebank</w:t>
            </w:r>
            <w:r w:rsidR="00292961">
              <w:rPr>
                <w:rFonts w:ascii="Arial" w:eastAsiaTheme="minorHAnsi" w:hAnsi="Arial" w:cs="Arial"/>
                <w:sz w:val="16"/>
                <w:szCs w:val="16"/>
              </w:rPr>
              <w:t>, working / master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>Provenance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Biodiversity access and benefit sharing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Time scale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Geological timescales for climate change research; long-term conservation at cryogenic temperatures </w:t>
            </w:r>
            <w:r w:rsidRPr="00693207">
              <w:rPr>
                <w:rFonts w:ascii="Arial" w:eastAsiaTheme="minorHAnsi" w:hAnsi="Arial" w:cs="Arial"/>
                <w:i/>
                <w:sz w:val="16"/>
                <w:szCs w:val="16"/>
              </w:rPr>
              <w:t>ad infinitum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>Taxonomy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Species verification, new species identification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Biological donor 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Population genetics, taxonomic research</w:t>
            </w:r>
            <w:r w:rsidR="00F72649">
              <w:rPr>
                <w:rFonts w:ascii="Arial" w:eastAsiaTheme="minorHAnsi" w:hAnsi="Arial" w:cs="Arial"/>
                <w:sz w:val="16"/>
                <w:szCs w:val="16"/>
              </w:rPr>
              <w:t>, metagenomics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Anatomical site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Tissues used for storage and extraction; explants used to initiate cultures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Vital state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F72649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Post mortem evidence for wildlife forensics, viability of living collections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Physiological &amp; developmental state 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Viable culture initiation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b/>
                <w:sz w:val="20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Gender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Species identification, genetic resources conservation, assisted breeding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Life cycle &amp; reproductive state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F72649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Genebanks, assisted breeding, species re-introductions, wildlife management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Health &amp; nutritional status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Endangered, at risk species management, exploitation of cultures for natural products biotechnology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Toxicological status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5D68DF" w:rsidP="00B72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B7247A" w:rsidRPr="00693207">
              <w:rPr>
                <w:rFonts w:ascii="Arial" w:hAnsi="Arial" w:cs="Arial"/>
                <w:sz w:val="16"/>
                <w:szCs w:val="16"/>
              </w:rPr>
              <w:t>enobiotic, radiation, environmental impact studies</w:t>
            </w:r>
            <w:r w:rsidR="00F72649">
              <w:rPr>
                <w:rFonts w:ascii="Arial" w:hAnsi="Arial" w:cs="Arial"/>
                <w:sz w:val="16"/>
                <w:szCs w:val="16"/>
              </w:rPr>
              <w:t>, poisons</w:t>
            </w:r>
            <w:r w:rsidR="00B7247A" w:rsidRPr="006932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Axenicity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>Purity critical for molecular genetics, omics research; non-axenicity for parasitology, symbioses, assemblages</w:t>
            </w:r>
            <w:r w:rsidR="00F72649">
              <w:rPr>
                <w:rFonts w:ascii="Arial" w:hAnsi="Arial" w:cs="Arial"/>
                <w:sz w:val="16"/>
                <w:szCs w:val="16"/>
              </w:rPr>
              <w:t>, eDNA</w:t>
            </w:r>
            <w:r w:rsidRPr="006932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Disease and pathology status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Epidemiological studies, safe transfer of biospecimens and bioresources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 w:val="restart"/>
            <w:textDirection w:val="btLr"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  <w:r w:rsidRPr="00534C04">
              <w:rPr>
                <w:rFonts w:ascii="Arial" w:eastAsiaTheme="minorHAnsi" w:hAnsi="Arial" w:cs="Arial"/>
                <w:sz w:val="20"/>
                <w:szCs w:val="16"/>
              </w:rPr>
              <w:t>II.</w:t>
            </w:r>
            <w:r w:rsidR="008D0243">
              <w:rPr>
                <w:rFonts w:ascii="Arial" w:eastAsiaTheme="minorHAnsi" w:hAnsi="Arial" w:cs="Arial"/>
                <w:sz w:val="20"/>
                <w:szCs w:val="16"/>
              </w:rPr>
              <w:t xml:space="preserve"> </w:t>
            </w:r>
            <w:r w:rsidRPr="00534C04">
              <w:rPr>
                <w:rFonts w:ascii="Arial" w:eastAsiaTheme="minorHAnsi" w:hAnsi="Arial" w:cs="Arial"/>
                <w:sz w:val="20"/>
                <w:szCs w:val="16"/>
              </w:rPr>
              <w:t>Acquisition, stabilization &amp; transport</w:t>
            </w: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Collection &amp; sample container </w:t>
            </w:r>
          </w:p>
        </w:tc>
        <w:tc>
          <w:tcPr>
            <w:tcW w:w="3189" w:type="pct"/>
            <w:vMerge w:val="restar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Stabilization of all types of biospecimen, sample, </w:t>
            </w:r>
            <w:r w:rsidR="00412A14">
              <w:rPr>
                <w:rFonts w:ascii="Arial" w:hAnsi="Arial" w:cs="Arial"/>
                <w:sz w:val="16"/>
                <w:szCs w:val="16"/>
              </w:rPr>
              <w:t xml:space="preserve">eDNA, </w:t>
            </w:r>
            <w:r w:rsidRPr="00693207">
              <w:rPr>
                <w:rFonts w:ascii="Arial" w:hAnsi="Arial" w:cs="Arial"/>
                <w:sz w:val="16"/>
                <w:szCs w:val="16"/>
              </w:rPr>
              <w:t xml:space="preserve">biological/genetic resource, organism; especially when biodiversity is sampled and dispatched from remote, extreme or difficult locations (e.g. </w:t>
            </w:r>
            <w:r w:rsidR="00412A14" w:rsidRPr="00693207">
              <w:rPr>
                <w:rFonts w:ascii="Arial" w:hAnsi="Arial" w:cs="Arial"/>
                <w:sz w:val="16"/>
                <w:szCs w:val="16"/>
              </w:rPr>
              <w:t>polar regions</w:t>
            </w:r>
            <w:r w:rsidRPr="00693207">
              <w:rPr>
                <w:rFonts w:ascii="Arial" w:hAnsi="Arial" w:cs="Arial"/>
                <w:sz w:val="16"/>
                <w:szCs w:val="16"/>
              </w:rPr>
              <w:t>, conf</w:t>
            </w:r>
            <w:r w:rsidR="00412A14">
              <w:rPr>
                <w:rFonts w:ascii="Arial" w:hAnsi="Arial" w:cs="Arial"/>
                <w:sz w:val="16"/>
                <w:szCs w:val="16"/>
              </w:rPr>
              <w:t>lict zones) and when cold chain</w:t>
            </w:r>
            <w:r w:rsidRPr="0069320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412A14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693207">
              <w:rPr>
                <w:rFonts w:ascii="Arial" w:hAnsi="Arial" w:cs="Arial"/>
                <w:sz w:val="16"/>
                <w:szCs w:val="16"/>
              </w:rPr>
              <w:t>chain of custody, security, monitoring and logistics are compromised by lack of infrastructure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Time 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Stabilization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Shipping parameters – stage 1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Interim storage 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Shipping parameters – stage 2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Short-term storage 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cantSplit/>
          <w:trHeight w:val="283"/>
        </w:trPr>
        <w:tc>
          <w:tcPr>
            <w:tcW w:w="556" w:type="pct"/>
            <w:vMerge w:val="restart"/>
            <w:textDirection w:val="btLr"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  <w:proofErr w:type="spellStart"/>
            <w:r w:rsidRPr="00534C04">
              <w:rPr>
                <w:rFonts w:ascii="Arial" w:eastAsiaTheme="minorHAnsi" w:hAnsi="Arial" w:cs="Arial"/>
                <w:sz w:val="20"/>
                <w:szCs w:val="16"/>
              </w:rPr>
              <w:t>III.Preservation</w:t>
            </w:r>
            <w:proofErr w:type="spellEnd"/>
            <w:r w:rsidRPr="00534C04">
              <w:rPr>
                <w:rFonts w:ascii="Arial" w:eastAsiaTheme="minorHAnsi" w:hAnsi="Arial" w:cs="Arial"/>
                <w:sz w:val="20"/>
                <w:szCs w:val="16"/>
              </w:rPr>
              <w:t>, fixation &amp; storage</w:t>
            </w: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Preparation 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>Prevention of deterioration, particularly fragile, labile biospecimens (e.g. Lepidoptera, molluscs, insects) before preservation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Chemical fixation</w:t>
            </w:r>
          </w:p>
        </w:tc>
        <w:tc>
          <w:tcPr>
            <w:tcW w:w="3189" w:type="pct"/>
            <w:vMerge w:val="restar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>Preservation of the original state e.g. herbarium samples, tissues, horn, feathers, organisms in spirit collections</w:t>
            </w:r>
            <w:r w:rsidR="00412A14">
              <w:rPr>
                <w:rFonts w:ascii="Arial" w:hAnsi="Arial" w:cs="Arial"/>
                <w:sz w:val="16"/>
                <w:szCs w:val="16"/>
              </w:rPr>
              <w:t>, eDNA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Preservation by desiccation &amp; drying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Flash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snap freezing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Preservation at low temperatures </w:t>
            </w:r>
          </w:p>
        </w:tc>
        <w:tc>
          <w:tcPr>
            <w:tcW w:w="3189" w:type="pct"/>
            <w:vMerge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Long-term storage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Stabilization of permanent museum collections under environmentally controlled conditions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Freeze/thaw parameters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/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cycles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Sample quality impacts on thermo-labile biospecimens; repeated sub-sampling from the same specimen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 w:val="restart"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  <w:r w:rsidRPr="00534C04">
              <w:rPr>
                <w:rFonts w:ascii="Arial" w:eastAsiaTheme="minorHAnsi" w:hAnsi="Arial" w:cs="Arial"/>
                <w:sz w:val="20"/>
                <w:szCs w:val="16"/>
              </w:rPr>
              <w:lastRenderedPageBreak/>
              <w:t xml:space="preserve">IV. </w:t>
            </w:r>
            <w:r w:rsidRPr="00DB4FE9">
              <w:rPr>
                <w:rFonts w:ascii="Arial" w:eastAsiaTheme="minorHAnsi" w:hAnsi="Arial" w:cs="Arial"/>
                <w:i/>
                <w:sz w:val="20"/>
                <w:szCs w:val="16"/>
              </w:rPr>
              <w:t xml:space="preserve">In vitro </w:t>
            </w:r>
            <w:r w:rsidRPr="00534C04">
              <w:rPr>
                <w:rFonts w:ascii="Arial" w:eastAsiaTheme="minorHAnsi" w:hAnsi="Arial" w:cs="Arial"/>
                <w:sz w:val="20"/>
                <w:szCs w:val="16"/>
              </w:rPr>
              <w:t>culture</w:t>
            </w:r>
          </w:p>
        </w:tc>
        <w:tc>
          <w:tcPr>
            <w:tcW w:w="277" w:type="pct"/>
            <w:vAlign w:val="bottom"/>
          </w:tcPr>
          <w:p w:rsidR="00B7247A" w:rsidRPr="0011155D" w:rsidRDefault="00B7247A" w:rsidP="00B724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Culture 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Multiple steps involved in the successful initiation and serial sub-culture of viable cells, tissues, organs, organisms </w:t>
            </w:r>
            <w:r w:rsidRPr="00693207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6932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247A" w:rsidRPr="00693207" w:rsidTr="00B7247A">
        <w:trPr>
          <w:trHeight w:val="283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i/>
                <w:sz w:val="16"/>
                <w:szCs w:val="16"/>
              </w:rPr>
              <w:t>In vitro</w:t>
            </w: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 conservation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Conservation of active and base collections in culture collections, genebanks, BRCs </w:t>
            </w:r>
          </w:p>
        </w:tc>
      </w:tr>
      <w:tr w:rsidR="00B7247A" w:rsidRPr="00693207" w:rsidTr="00B7247A">
        <w:trPr>
          <w:trHeight w:val="454"/>
        </w:trPr>
        <w:tc>
          <w:tcPr>
            <w:tcW w:w="556" w:type="pct"/>
            <w:vMerge w:val="restart"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  <w:r>
              <w:rPr>
                <w:rFonts w:ascii="Arial" w:eastAsiaTheme="minorHAnsi" w:hAnsi="Arial" w:cs="Arial"/>
                <w:sz w:val="20"/>
                <w:szCs w:val="16"/>
              </w:rPr>
              <w:t>V.</w:t>
            </w:r>
            <w:r w:rsidR="008D0243">
              <w:rPr>
                <w:rFonts w:ascii="Arial" w:eastAsiaTheme="minorHAnsi" w:hAnsi="Arial" w:cs="Arial"/>
                <w:sz w:val="20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16"/>
              </w:rPr>
              <w:t xml:space="preserve">Conservation </w:t>
            </w:r>
            <w:r w:rsidRPr="00534C04">
              <w:rPr>
                <w:rFonts w:ascii="Arial" w:eastAsiaTheme="minorHAnsi" w:hAnsi="Arial" w:cs="Arial"/>
                <w:sz w:val="20"/>
                <w:szCs w:val="16"/>
              </w:rPr>
              <w:t>storage &amp; recovery</w:t>
            </w: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 xml:space="preserve">Cryopreservation 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Conservation of viable cells, tissues, organs, organisms in cryobanks </w:t>
            </w:r>
            <w:r w:rsidRPr="00693207">
              <w:rPr>
                <w:rFonts w:ascii="Arial" w:hAnsi="Arial" w:cs="Arial"/>
                <w:i/>
                <w:sz w:val="16"/>
                <w:szCs w:val="16"/>
              </w:rPr>
              <w:t>ad infinitum</w:t>
            </w:r>
            <w:r w:rsidRPr="006932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247A" w:rsidRPr="00693207" w:rsidTr="00B7247A">
        <w:trPr>
          <w:trHeight w:val="454"/>
        </w:trPr>
        <w:tc>
          <w:tcPr>
            <w:tcW w:w="556" w:type="pct"/>
            <w:vMerge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Rewarming &amp; recovery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>Recovering fit-for-purpose viable, functional, totipotent cells, tissues, organs, organisms after cryostorage</w:t>
            </w:r>
          </w:p>
        </w:tc>
      </w:tr>
      <w:tr w:rsidR="00B7247A" w:rsidRPr="00693207" w:rsidTr="00B7247A">
        <w:trPr>
          <w:trHeight w:val="1134"/>
        </w:trPr>
        <w:tc>
          <w:tcPr>
            <w:tcW w:w="556" w:type="pct"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  <w:r>
              <w:rPr>
                <w:rFonts w:ascii="Arial" w:eastAsiaTheme="minorHAnsi" w:hAnsi="Arial" w:cs="Arial"/>
                <w:sz w:val="20"/>
                <w:szCs w:val="16"/>
              </w:rPr>
              <w:t>VI.</w:t>
            </w:r>
            <w:r w:rsidR="008D0243">
              <w:rPr>
                <w:rFonts w:ascii="Arial" w:eastAsiaTheme="minorHAnsi" w:hAnsi="Arial" w:cs="Arial"/>
                <w:sz w:val="20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16"/>
              </w:rPr>
              <w:t>Dispatch</w:t>
            </w:r>
            <w:r w:rsidRPr="00534C04">
              <w:rPr>
                <w:rFonts w:ascii="Arial" w:eastAsiaTheme="minorHAnsi" w:hAnsi="Arial" w:cs="Arial"/>
                <w:sz w:val="20"/>
                <w:szCs w:val="16"/>
              </w:rPr>
              <w:t xml:space="preserve"> transport </w:t>
            </w:r>
            <w:r>
              <w:rPr>
                <w:rFonts w:ascii="Arial" w:eastAsiaTheme="minorHAnsi" w:hAnsi="Arial" w:cs="Arial"/>
                <w:sz w:val="20"/>
                <w:szCs w:val="16"/>
              </w:rPr>
              <w:t>&amp;</w:t>
            </w:r>
            <w:r w:rsidRPr="00534C04">
              <w:rPr>
                <w:rFonts w:ascii="Arial" w:eastAsiaTheme="minorHAnsi" w:hAnsi="Arial" w:cs="Arial"/>
                <w:sz w:val="20"/>
                <w:szCs w:val="16"/>
              </w:rPr>
              <w:t xml:space="preserve"> cold chain security</w:t>
            </w: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Shipping temperature &amp; conditions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Cold chain, chain of custody, security, monitoring, logistics for shipping viable biological/genetic resources, organisms </w:t>
            </w:r>
          </w:p>
        </w:tc>
      </w:tr>
      <w:tr w:rsidR="00B7247A" w:rsidRPr="00693207" w:rsidTr="00B7247A">
        <w:trPr>
          <w:trHeight w:val="1134"/>
        </w:trPr>
        <w:tc>
          <w:tcPr>
            <w:tcW w:w="556" w:type="pct"/>
            <w:vAlign w:val="center"/>
          </w:tcPr>
          <w:p w:rsidR="00B7247A" w:rsidRPr="00534C04" w:rsidRDefault="00B7247A" w:rsidP="00B7247A">
            <w:pPr>
              <w:jc w:val="center"/>
              <w:rPr>
                <w:rFonts w:ascii="Arial" w:eastAsiaTheme="minorHAnsi" w:hAnsi="Arial" w:cs="Arial"/>
                <w:sz w:val="20"/>
                <w:szCs w:val="16"/>
              </w:rPr>
            </w:pPr>
            <w:r w:rsidRPr="00534C04">
              <w:rPr>
                <w:rFonts w:ascii="Arial" w:eastAsiaTheme="minorHAnsi" w:hAnsi="Arial" w:cs="Arial"/>
                <w:sz w:val="20"/>
                <w:szCs w:val="16"/>
              </w:rPr>
              <w:t>VII</w:t>
            </w:r>
            <w:r w:rsidR="008D0243">
              <w:rPr>
                <w:rFonts w:ascii="Arial" w:eastAsiaTheme="minorHAnsi" w:hAnsi="Arial" w:cs="Arial"/>
                <w:sz w:val="20"/>
                <w:szCs w:val="16"/>
              </w:rPr>
              <w:t>.</w:t>
            </w:r>
            <w:r w:rsidRPr="00534C04">
              <w:rPr>
                <w:rFonts w:ascii="Arial" w:eastAsiaTheme="minorHAnsi" w:hAnsi="Arial" w:cs="Arial"/>
                <w:sz w:val="20"/>
                <w:szCs w:val="16"/>
              </w:rPr>
              <w:t xml:space="preserve"> Quality assurance </w:t>
            </w:r>
            <w:r>
              <w:rPr>
                <w:rFonts w:ascii="Arial" w:eastAsiaTheme="minorHAnsi" w:hAnsi="Arial" w:cs="Arial"/>
                <w:sz w:val="20"/>
                <w:szCs w:val="16"/>
              </w:rPr>
              <w:t>&amp;</w:t>
            </w:r>
            <w:r w:rsidRPr="00534C04">
              <w:rPr>
                <w:rFonts w:ascii="Arial" w:eastAsiaTheme="minorHAnsi" w:hAnsi="Arial" w:cs="Arial"/>
                <w:sz w:val="20"/>
                <w:szCs w:val="16"/>
              </w:rPr>
              <w:t xml:space="preserve"> quality control measures</w:t>
            </w:r>
          </w:p>
        </w:tc>
        <w:tc>
          <w:tcPr>
            <w:tcW w:w="277" w:type="pct"/>
            <w:vAlign w:val="center"/>
          </w:tcPr>
          <w:p w:rsidR="00B7247A" w:rsidRPr="0011155D" w:rsidRDefault="00B7247A" w:rsidP="00B7247A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1155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78" w:type="pct"/>
            <w:vAlign w:val="center"/>
            <w:hideMark/>
          </w:tcPr>
          <w:p w:rsidR="00B7247A" w:rsidRPr="00693207" w:rsidRDefault="00F72649" w:rsidP="00B7247A">
            <w:pPr>
              <w:rPr>
                <w:rFonts w:ascii="Arial" w:eastAsiaTheme="minorHAnsi" w:hAnsi="Arial" w:cs="Arial"/>
                <w:sz w:val="16"/>
                <w:szCs w:val="16"/>
              </w:rPr>
            </w:pPr>
            <w:r w:rsidRPr="00693207">
              <w:rPr>
                <w:rFonts w:ascii="Arial" w:eastAsiaTheme="minorHAnsi" w:hAnsi="Arial" w:cs="Arial"/>
                <w:sz w:val="16"/>
                <w:szCs w:val="16"/>
              </w:rPr>
              <w:t>Quality management</w:t>
            </w:r>
          </w:p>
        </w:tc>
        <w:tc>
          <w:tcPr>
            <w:tcW w:w="3189" w:type="pct"/>
            <w:vAlign w:val="center"/>
            <w:hideMark/>
          </w:tcPr>
          <w:p w:rsidR="00B7247A" w:rsidRPr="00693207" w:rsidRDefault="00B7247A" w:rsidP="00B7247A">
            <w:pPr>
              <w:rPr>
                <w:rFonts w:ascii="Arial" w:hAnsi="Arial" w:cs="Arial"/>
                <w:sz w:val="16"/>
                <w:szCs w:val="16"/>
              </w:rPr>
            </w:pPr>
            <w:r w:rsidRPr="00693207">
              <w:rPr>
                <w:rFonts w:ascii="Arial" w:hAnsi="Arial" w:cs="Arial"/>
                <w:sz w:val="16"/>
                <w:szCs w:val="16"/>
              </w:rPr>
              <w:t xml:space="preserve">All types of biospecimen, sample, biological/genetic resource especially for endangered and at risk species </w:t>
            </w:r>
          </w:p>
        </w:tc>
      </w:tr>
    </w:tbl>
    <w:p w:rsidR="00693207" w:rsidRDefault="00693207" w:rsidP="0069320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7247A" w:rsidRDefault="00B7247A" w:rsidP="0069320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B7247A" w:rsidSect="00902CA4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6FA"/>
    <w:multiLevelType w:val="hybridMultilevel"/>
    <w:tmpl w:val="976461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A76DD"/>
    <w:multiLevelType w:val="hybridMultilevel"/>
    <w:tmpl w:val="9FE465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E0B12"/>
    <w:multiLevelType w:val="hybridMultilevel"/>
    <w:tmpl w:val="54B8AF38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097"/>
    <w:multiLevelType w:val="hybridMultilevel"/>
    <w:tmpl w:val="DDF45F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8349D5"/>
    <w:multiLevelType w:val="hybridMultilevel"/>
    <w:tmpl w:val="49B4FC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66372"/>
    <w:multiLevelType w:val="hybridMultilevel"/>
    <w:tmpl w:val="A08E0F3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C6D99"/>
    <w:multiLevelType w:val="hybridMultilevel"/>
    <w:tmpl w:val="AF444C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2D5"/>
    <w:multiLevelType w:val="hybridMultilevel"/>
    <w:tmpl w:val="DAE29692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BA264F"/>
    <w:multiLevelType w:val="hybridMultilevel"/>
    <w:tmpl w:val="9DD8FB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F0687"/>
    <w:multiLevelType w:val="hybridMultilevel"/>
    <w:tmpl w:val="5308E6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A548F"/>
    <w:multiLevelType w:val="hybridMultilevel"/>
    <w:tmpl w:val="4E3CBB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BC6A10"/>
    <w:multiLevelType w:val="hybridMultilevel"/>
    <w:tmpl w:val="536CB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32C49"/>
    <w:multiLevelType w:val="hybridMultilevel"/>
    <w:tmpl w:val="4E2693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18069E"/>
    <w:multiLevelType w:val="hybridMultilevel"/>
    <w:tmpl w:val="F1C47BB6"/>
    <w:lvl w:ilvl="0" w:tplc="08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031D62"/>
    <w:multiLevelType w:val="hybridMultilevel"/>
    <w:tmpl w:val="FC64109A"/>
    <w:lvl w:ilvl="0" w:tplc="47805B7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4637A9"/>
    <w:multiLevelType w:val="hybridMultilevel"/>
    <w:tmpl w:val="40C636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F64F07"/>
    <w:multiLevelType w:val="hybridMultilevel"/>
    <w:tmpl w:val="F54614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C8745D"/>
    <w:multiLevelType w:val="hybridMultilevel"/>
    <w:tmpl w:val="67AC98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0E320A"/>
    <w:multiLevelType w:val="hybridMultilevel"/>
    <w:tmpl w:val="13DC54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22502B"/>
    <w:multiLevelType w:val="hybridMultilevel"/>
    <w:tmpl w:val="B01EDE6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27AC8"/>
    <w:multiLevelType w:val="hybridMultilevel"/>
    <w:tmpl w:val="1F6A66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B82452"/>
    <w:multiLevelType w:val="hybridMultilevel"/>
    <w:tmpl w:val="45DEBD64"/>
    <w:lvl w:ilvl="0" w:tplc="CA8C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80F1F"/>
    <w:multiLevelType w:val="hybridMultilevel"/>
    <w:tmpl w:val="9EBC16D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431032"/>
    <w:multiLevelType w:val="hybridMultilevel"/>
    <w:tmpl w:val="0F94E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459D"/>
    <w:multiLevelType w:val="hybridMultilevel"/>
    <w:tmpl w:val="8FDC84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F7BB1"/>
    <w:multiLevelType w:val="hybridMultilevel"/>
    <w:tmpl w:val="F6BE69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E0055A"/>
    <w:multiLevelType w:val="hybridMultilevel"/>
    <w:tmpl w:val="A04638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AE5A32"/>
    <w:multiLevelType w:val="hybridMultilevel"/>
    <w:tmpl w:val="DB18AB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CE3B36"/>
    <w:multiLevelType w:val="hybridMultilevel"/>
    <w:tmpl w:val="82EE8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3"/>
  </w:num>
  <w:num w:numId="5">
    <w:abstractNumId w:val="10"/>
  </w:num>
  <w:num w:numId="6">
    <w:abstractNumId w:val="16"/>
  </w:num>
  <w:num w:numId="7">
    <w:abstractNumId w:val="27"/>
  </w:num>
  <w:num w:numId="8">
    <w:abstractNumId w:val="19"/>
  </w:num>
  <w:num w:numId="9">
    <w:abstractNumId w:val="12"/>
  </w:num>
  <w:num w:numId="10">
    <w:abstractNumId w:val="17"/>
  </w:num>
  <w:num w:numId="11">
    <w:abstractNumId w:val="25"/>
  </w:num>
  <w:num w:numId="12">
    <w:abstractNumId w:val="18"/>
  </w:num>
  <w:num w:numId="13">
    <w:abstractNumId w:val="15"/>
  </w:num>
  <w:num w:numId="14">
    <w:abstractNumId w:val="4"/>
  </w:num>
  <w:num w:numId="15">
    <w:abstractNumId w:val="2"/>
  </w:num>
  <w:num w:numId="16">
    <w:abstractNumId w:val="28"/>
  </w:num>
  <w:num w:numId="17">
    <w:abstractNumId w:val="1"/>
  </w:num>
  <w:num w:numId="18">
    <w:abstractNumId w:val="13"/>
  </w:num>
  <w:num w:numId="19">
    <w:abstractNumId w:val="11"/>
  </w:num>
  <w:num w:numId="20">
    <w:abstractNumId w:val="7"/>
  </w:num>
  <w:num w:numId="21">
    <w:abstractNumId w:val="5"/>
  </w:num>
  <w:num w:numId="22">
    <w:abstractNumId w:val="24"/>
  </w:num>
  <w:num w:numId="23">
    <w:abstractNumId w:val="9"/>
  </w:num>
  <w:num w:numId="24">
    <w:abstractNumId w:val="8"/>
  </w:num>
  <w:num w:numId="25">
    <w:abstractNumId w:val="26"/>
  </w:num>
  <w:num w:numId="26">
    <w:abstractNumId w:val="0"/>
  </w:num>
  <w:num w:numId="27">
    <w:abstractNumId w:val="6"/>
  </w:num>
  <w:num w:numId="28">
    <w:abstractNumId w:val="2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5C97"/>
    <w:rsid w:val="000028CE"/>
    <w:rsid w:val="00006247"/>
    <w:rsid w:val="00026979"/>
    <w:rsid w:val="0003078A"/>
    <w:rsid w:val="000D266C"/>
    <w:rsid w:val="000F31C2"/>
    <w:rsid w:val="00103466"/>
    <w:rsid w:val="00105D67"/>
    <w:rsid w:val="0011155D"/>
    <w:rsid w:val="00114A07"/>
    <w:rsid w:val="00146F84"/>
    <w:rsid w:val="001524BD"/>
    <w:rsid w:val="00156589"/>
    <w:rsid w:val="001600CC"/>
    <w:rsid w:val="00160588"/>
    <w:rsid w:val="001671CA"/>
    <w:rsid w:val="00196DED"/>
    <w:rsid w:val="00196F3C"/>
    <w:rsid w:val="001D4610"/>
    <w:rsid w:val="001F122D"/>
    <w:rsid w:val="001F2805"/>
    <w:rsid w:val="001F5A2D"/>
    <w:rsid w:val="00262A6F"/>
    <w:rsid w:val="0026379F"/>
    <w:rsid w:val="00265627"/>
    <w:rsid w:val="00271306"/>
    <w:rsid w:val="002829B7"/>
    <w:rsid w:val="00292961"/>
    <w:rsid w:val="002A6014"/>
    <w:rsid w:val="002B42AB"/>
    <w:rsid w:val="002E22C6"/>
    <w:rsid w:val="002E5DE7"/>
    <w:rsid w:val="002E7753"/>
    <w:rsid w:val="00302F56"/>
    <w:rsid w:val="003151B3"/>
    <w:rsid w:val="003467F7"/>
    <w:rsid w:val="00353665"/>
    <w:rsid w:val="00376F11"/>
    <w:rsid w:val="00380FB0"/>
    <w:rsid w:val="00396DB4"/>
    <w:rsid w:val="003A5C97"/>
    <w:rsid w:val="003B1F52"/>
    <w:rsid w:val="003B55DB"/>
    <w:rsid w:val="003C22EF"/>
    <w:rsid w:val="003D2EEC"/>
    <w:rsid w:val="003E0917"/>
    <w:rsid w:val="003E3980"/>
    <w:rsid w:val="00412A14"/>
    <w:rsid w:val="00420A42"/>
    <w:rsid w:val="00434512"/>
    <w:rsid w:val="004362AD"/>
    <w:rsid w:val="00437F37"/>
    <w:rsid w:val="00445A20"/>
    <w:rsid w:val="0046380F"/>
    <w:rsid w:val="00470AB9"/>
    <w:rsid w:val="004A275E"/>
    <w:rsid w:val="004A34DC"/>
    <w:rsid w:val="004A6DF7"/>
    <w:rsid w:val="004C6C62"/>
    <w:rsid w:val="004C759C"/>
    <w:rsid w:val="004D04B8"/>
    <w:rsid w:val="004D5A18"/>
    <w:rsid w:val="004D64F0"/>
    <w:rsid w:val="004E3520"/>
    <w:rsid w:val="004F6206"/>
    <w:rsid w:val="00503885"/>
    <w:rsid w:val="00510738"/>
    <w:rsid w:val="00534C04"/>
    <w:rsid w:val="00546F41"/>
    <w:rsid w:val="00547E87"/>
    <w:rsid w:val="00552D40"/>
    <w:rsid w:val="0057276E"/>
    <w:rsid w:val="00575D78"/>
    <w:rsid w:val="0058566C"/>
    <w:rsid w:val="005A33D0"/>
    <w:rsid w:val="005B3A82"/>
    <w:rsid w:val="005D30AC"/>
    <w:rsid w:val="005D58FF"/>
    <w:rsid w:val="005D68DF"/>
    <w:rsid w:val="005E1D5E"/>
    <w:rsid w:val="00634D99"/>
    <w:rsid w:val="00646395"/>
    <w:rsid w:val="0066338A"/>
    <w:rsid w:val="00666818"/>
    <w:rsid w:val="0068502D"/>
    <w:rsid w:val="00686674"/>
    <w:rsid w:val="00693207"/>
    <w:rsid w:val="0069374E"/>
    <w:rsid w:val="006946BB"/>
    <w:rsid w:val="006A218B"/>
    <w:rsid w:val="006A6C7D"/>
    <w:rsid w:val="006B6530"/>
    <w:rsid w:val="006C1A7E"/>
    <w:rsid w:val="006E40DC"/>
    <w:rsid w:val="0071513D"/>
    <w:rsid w:val="00723B06"/>
    <w:rsid w:val="0073188B"/>
    <w:rsid w:val="007559DA"/>
    <w:rsid w:val="00794AD2"/>
    <w:rsid w:val="007A1775"/>
    <w:rsid w:val="007F038C"/>
    <w:rsid w:val="007F04C3"/>
    <w:rsid w:val="008227F3"/>
    <w:rsid w:val="00830E3B"/>
    <w:rsid w:val="00833D50"/>
    <w:rsid w:val="008409F7"/>
    <w:rsid w:val="008425A2"/>
    <w:rsid w:val="00854878"/>
    <w:rsid w:val="00854D19"/>
    <w:rsid w:val="00861395"/>
    <w:rsid w:val="0089703D"/>
    <w:rsid w:val="008D0243"/>
    <w:rsid w:val="008F6A22"/>
    <w:rsid w:val="00902CA4"/>
    <w:rsid w:val="00914BE0"/>
    <w:rsid w:val="00916034"/>
    <w:rsid w:val="009307E4"/>
    <w:rsid w:val="00936223"/>
    <w:rsid w:val="009400CD"/>
    <w:rsid w:val="00941EA2"/>
    <w:rsid w:val="0094779E"/>
    <w:rsid w:val="00965D2F"/>
    <w:rsid w:val="00971186"/>
    <w:rsid w:val="00972795"/>
    <w:rsid w:val="009954B9"/>
    <w:rsid w:val="009970DB"/>
    <w:rsid w:val="009A4223"/>
    <w:rsid w:val="009C024A"/>
    <w:rsid w:val="009D3F06"/>
    <w:rsid w:val="009D558D"/>
    <w:rsid w:val="009E1DA4"/>
    <w:rsid w:val="009F6281"/>
    <w:rsid w:val="00A0502C"/>
    <w:rsid w:val="00A22A49"/>
    <w:rsid w:val="00A3110D"/>
    <w:rsid w:val="00A3260A"/>
    <w:rsid w:val="00A365CF"/>
    <w:rsid w:val="00A417A6"/>
    <w:rsid w:val="00A45AA1"/>
    <w:rsid w:val="00A86E0D"/>
    <w:rsid w:val="00AB5BF8"/>
    <w:rsid w:val="00AD16A9"/>
    <w:rsid w:val="00AD3A07"/>
    <w:rsid w:val="00AE3035"/>
    <w:rsid w:val="00B0063D"/>
    <w:rsid w:val="00B04F56"/>
    <w:rsid w:val="00B12567"/>
    <w:rsid w:val="00B319AA"/>
    <w:rsid w:val="00B34F6F"/>
    <w:rsid w:val="00B364C8"/>
    <w:rsid w:val="00B37772"/>
    <w:rsid w:val="00B5104D"/>
    <w:rsid w:val="00B7247A"/>
    <w:rsid w:val="00B85260"/>
    <w:rsid w:val="00B86A8E"/>
    <w:rsid w:val="00BA1ACE"/>
    <w:rsid w:val="00BD221F"/>
    <w:rsid w:val="00BE028D"/>
    <w:rsid w:val="00BE6584"/>
    <w:rsid w:val="00C4048A"/>
    <w:rsid w:val="00C46FE6"/>
    <w:rsid w:val="00C5588F"/>
    <w:rsid w:val="00C62C7D"/>
    <w:rsid w:val="00C63165"/>
    <w:rsid w:val="00C72369"/>
    <w:rsid w:val="00C90663"/>
    <w:rsid w:val="00C951AF"/>
    <w:rsid w:val="00C97A89"/>
    <w:rsid w:val="00CA705D"/>
    <w:rsid w:val="00CF6D06"/>
    <w:rsid w:val="00D246F7"/>
    <w:rsid w:val="00D328A0"/>
    <w:rsid w:val="00D44D3A"/>
    <w:rsid w:val="00D577C2"/>
    <w:rsid w:val="00D6166F"/>
    <w:rsid w:val="00D8326A"/>
    <w:rsid w:val="00D836DB"/>
    <w:rsid w:val="00DA5A4E"/>
    <w:rsid w:val="00DB4FE9"/>
    <w:rsid w:val="00DF30B5"/>
    <w:rsid w:val="00E02AEF"/>
    <w:rsid w:val="00E2303E"/>
    <w:rsid w:val="00E5321C"/>
    <w:rsid w:val="00EA416B"/>
    <w:rsid w:val="00EC5F1C"/>
    <w:rsid w:val="00ED3F2B"/>
    <w:rsid w:val="00ED4A65"/>
    <w:rsid w:val="00F0092B"/>
    <w:rsid w:val="00F27198"/>
    <w:rsid w:val="00F50685"/>
    <w:rsid w:val="00F66CA1"/>
    <w:rsid w:val="00F71853"/>
    <w:rsid w:val="00F72649"/>
    <w:rsid w:val="00F90EF9"/>
    <w:rsid w:val="00F94DCB"/>
    <w:rsid w:val="00F95D97"/>
    <w:rsid w:val="00FA5E86"/>
    <w:rsid w:val="00FB7ABD"/>
    <w:rsid w:val="00FE4254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C9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A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5C9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9307E4"/>
  </w:style>
  <w:style w:type="character" w:styleId="Hyperlink">
    <w:name w:val="Hyperlink"/>
    <w:basedOn w:val="DefaultParagraphFont"/>
    <w:uiPriority w:val="99"/>
    <w:semiHidden/>
    <w:unhideWhenUsed/>
    <w:rsid w:val="009307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04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3A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A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A781-D376-4DCF-8FD7-3B6483C5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62</cp:revision>
  <cp:lastPrinted>2015-09-24T07:31:00Z</cp:lastPrinted>
  <dcterms:created xsi:type="dcterms:W3CDTF">2014-12-21T13:44:00Z</dcterms:created>
  <dcterms:modified xsi:type="dcterms:W3CDTF">2015-09-24T07:32:00Z</dcterms:modified>
</cp:coreProperties>
</file>